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A4" w:rsidRPr="0036725E" w:rsidRDefault="0036725E">
      <w:pPr>
        <w:rPr>
          <w:b/>
          <w:u w:val="single"/>
        </w:rPr>
      </w:pPr>
      <w:r w:rsidRPr="0036725E">
        <w:rPr>
          <w:b/>
          <w:u w:val="single"/>
        </w:rPr>
        <w:t>Unit 6 – Union in Crisis</w:t>
      </w:r>
      <w:bookmarkStart w:id="0" w:name="_GoBack"/>
      <w:bookmarkEnd w:id="0"/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  <w:r w:rsidRPr="009D0F60">
        <w:rPr>
          <w:rFonts w:ascii="BookAntiqua" w:hAnsi="BookAntiqua" w:cs="BookAntiqua"/>
          <w:color w:val="000000"/>
          <w:sz w:val="20"/>
          <w:szCs w:val="20"/>
        </w:rPr>
        <w:t>Know-Nothings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  <w:r w:rsidRPr="009D0F60">
        <w:rPr>
          <w:rFonts w:ascii="BookAntiqua" w:hAnsi="BookAntiqua" w:cs="BookAntiqua"/>
          <w:color w:val="000000"/>
          <w:sz w:val="20"/>
          <w:szCs w:val="20"/>
        </w:rPr>
        <w:t>Abolitionist movement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  <w:r w:rsidRPr="009D0F60">
        <w:rPr>
          <w:rFonts w:ascii="BookAntiqua" w:hAnsi="BookAntiqua" w:cs="BookAntiqua"/>
          <w:color w:val="000000"/>
          <w:sz w:val="20"/>
          <w:szCs w:val="20"/>
        </w:rPr>
        <w:t>Slave codes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  <w:r w:rsidRPr="009D0F60">
        <w:rPr>
          <w:rFonts w:ascii="BookAntiqua" w:hAnsi="BookAntiqua" w:cs="BookAntiqua"/>
          <w:color w:val="000000"/>
          <w:sz w:val="20"/>
          <w:szCs w:val="20"/>
        </w:rPr>
        <w:t>Underground Railroad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  <w:r w:rsidRPr="009D0F60">
        <w:rPr>
          <w:rFonts w:ascii="BookAntiqua" w:hAnsi="BookAntiqua" w:cs="BookAntiqua"/>
          <w:color w:val="000000"/>
          <w:sz w:val="20"/>
          <w:szCs w:val="20"/>
        </w:rPr>
        <w:t>Harriet Tubman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8100"/>
          <w:sz w:val="20"/>
          <w:szCs w:val="20"/>
        </w:rPr>
      </w:pP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8100"/>
          <w:sz w:val="20"/>
          <w:szCs w:val="20"/>
        </w:rPr>
      </w:pPr>
      <w:r w:rsidRPr="009D0F60">
        <w:rPr>
          <w:rFonts w:ascii="BookAntiqua" w:hAnsi="BookAntiqua" w:cs="BookAntiqua"/>
          <w:color w:val="008100"/>
          <w:sz w:val="20"/>
          <w:szCs w:val="20"/>
        </w:rPr>
        <w:t>Free Soil Party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  <w:r w:rsidRPr="009D0F60">
        <w:rPr>
          <w:rFonts w:ascii="BookAntiqua" w:hAnsi="BookAntiqua" w:cs="BookAntiqua"/>
          <w:color w:val="000000"/>
          <w:sz w:val="20"/>
          <w:szCs w:val="20"/>
        </w:rPr>
        <w:t>Compromise of 1850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8100"/>
          <w:sz w:val="20"/>
          <w:szCs w:val="20"/>
        </w:rPr>
      </w:pP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8100"/>
          <w:sz w:val="20"/>
          <w:szCs w:val="20"/>
        </w:rPr>
      </w:pPr>
      <w:r w:rsidRPr="009D0F60">
        <w:rPr>
          <w:rFonts w:ascii="BookAntiqua" w:hAnsi="BookAntiqua" w:cs="BookAntiqua"/>
          <w:color w:val="008100"/>
          <w:sz w:val="20"/>
          <w:szCs w:val="20"/>
        </w:rPr>
        <w:t>Popular Sovereignty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  <w:r w:rsidRPr="009D0F60">
        <w:rPr>
          <w:rFonts w:ascii="BookAntiqua" w:hAnsi="BookAntiqua" w:cs="BookAntiqua"/>
          <w:color w:val="000000"/>
          <w:sz w:val="20"/>
          <w:szCs w:val="20"/>
        </w:rPr>
        <w:t>Fugitive Slave Act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  <w:r w:rsidRPr="009D0F60">
        <w:rPr>
          <w:rFonts w:ascii="BookAntiqua" w:hAnsi="BookAntiqua" w:cs="BookAntiqua"/>
          <w:color w:val="000000"/>
          <w:sz w:val="20"/>
          <w:szCs w:val="20"/>
        </w:rPr>
        <w:t>Harriet Beecher Stowe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-Italic" w:hAnsi="BookAntiqua-Italic" w:cs="BookAntiqua-Italic"/>
          <w:i/>
          <w:iCs/>
          <w:color w:val="000000"/>
          <w:sz w:val="20"/>
          <w:szCs w:val="20"/>
        </w:rPr>
      </w:pPr>
      <w:r w:rsidRPr="009D0F60">
        <w:rPr>
          <w:rFonts w:ascii="BookAntiqua-Italic" w:hAnsi="BookAntiqua-Italic" w:cs="BookAntiqua-Italic"/>
          <w:i/>
          <w:iCs/>
          <w:color w:val="000000"/>
          <w:sz w:val="20"/>
          <w:szCs w:val="20"/>
        </w:rPr>
        <w:t>Uncle Tom’s Cabin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  <w:r w:rsidRPr="009D0F60">
        <w:rPr>
          <w:rFonts w:ascii="BookAntiqua" w:hAnsi="BookAntiqua" w:cs="BookAntiqua"/>
          <w:color w:val="000000"/>
          <w:sz w:val="20"/>
          <w:szCs w:val="20"/>
        </w:rPr>
        <w:lastRenderedPageBreak/>
        <w:t>Kansas-Nebraska Act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  <w:r w:rsidRPr="009D0F60">
        <w:rPr>
          <w:rFonts w:ascii="BookAntiqua" w:hAnsi="BookAntiqua" w:cs="BookAntiqua"/>
          <w:color w:val="000000"/>
          <w:sz w:val="20"/>
          <w:szCs w:val="20"/>
        </w:rPr>
        <w:t>Bleeding Kansas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8100"/>
          <w:sz w:val="20"/>
          <w:szCs w:val="20"/>
        </w:rPr>
      </w:pP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8100"/>
          <w:sz w:val="20"/>
          <w:szCs w:val="20"/>
        </w:rPr>
      </w:pPr>
      <w:r w:rsidRPr="009D0F60">
        <w:rPr>
          <w:rFonts w:ascii="BookAntiqua" w:hAnsi="BookAntiqua" w:cs="BookAntiqua"/>
          <w:color w:val="008100"/>
          <w:sz w:val="20"/>
          <w:szCs w:val="20"/>
        </w:rPr>
        <w:t>Republican Party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  <w:r w:rsidRPr="009D0F60">
        <w:rPr>
          <w:rFonts w:ascii="BookAntiqua" w:hAnsi="BookAntiqua" w:cs="BookAntiqua"/>
          <w:color w:val="000000"/>
          <w:sz w:val="20"/>
          <w:szCs w:val="20"/>
        </w:rPr>
        <w:t>Brooks-Sumner Incident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-Italic" w:hAnsi="BookAntiqua-Italic" w:cs="BookAntiqua-Italic"/>
          <w:i/>
          <w:iCs/>
          <w:color w:val="008100"/>
          <w:sz w:val="20"/>
          <w:szCs w:val="20"/>
        </w:rPr>
      </w:pP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-Italic" w:hAnsi="BookAntiqua-Italic" w:cs="BookAntiqua-Italic"/>
          <w:i/>
          <w:iCs/>
          <w:color w:val="008100"/>
          <w:sz w:val="20"/>
          <w:szCs w:val="20"/>
        </w:rPr>
      </w:pPr>
      <w:r w:rsidRPr="009D0F60">
        <w:rPr>
          <w:rFonts w:ascii="BookAntiqua-Italic" w:hAnsi="BookAntiqua-Italic" w:cs="BookAntiqua-Italic"/>
          <w:i/>
          <w:iCs/>
          <w:color w:val="008100"/>
          <w:sz w:val="20"/>
          <w:szCs w:val="20"/>
        </w:rPr>
        <w:t xml:space="preserve">Dred Scott </w:t>
      </w:r>
      <w:r w:rsidRPr="009D0F60">
        <w:rPr>
          <w:rFonts w:ascii="BookAntiqua" w:hAnsi="BookAntiqua" w:cs="BookAntiqua"/>
          <w:color w:val="008100"/>
          <w:sz w:val="20"/>
          <w:szCs w:val="20"/>
        </w:rPr>
        <w:t xml:space="preserve">v. </w:t>
      </w:r>
      <w:r w:rsidRPr="009D0F60">
        <w:rPr>
          <w:rFonts w:ascii="BookAntiqua-Italic" w:hAnsi="BookAntiqua-Italic" w:cs="BookAntiqua-Italic"/>
          <w:i/>
          <w:iCs/>
          <w:color w:val="008100"/>
          <w:sz w:val="20"/>
          <w:szCs w:val="20"/>
        </w:rPr>
        <w:t xml:space="preserve">Sanford </w:t>
      </w:r>
      <w:r w:rsidRPr="009D0F60">
        <w:rPr>
          <w:rFonts w:ascii="BookAntiqua" w:hAnsi="BookAntiqua" w:cs="BookAntiqua"/>
          <w:color w:val="008100"/>
          <w:sz w:val="20"/>
          <w:szCs w:val="20"/>
        </w:rPr>
        <w:t>(1857)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  <w:r w:rsidRPr="009D0F60">
        <w:rPr>
          <w:rFonts w:ascii="BookAntiqua" w:hAnsi="BookAntiqua" w:cs="BookAntiqua"/>
          <w:color w:val="000000"/>
          <w:sz w:val="20"/>
          <w:szCs w:val="20"/>
        </w:rPr>
        <w:t>Lincoln-Douglas Debates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  <w:r w:rsidRPr="009D0F60">
        <w:rPr>
          <w:rFonts w:ascii="BookAntiqua" w:hAnsi="BookAntiqua" w:cs="BookAntiqua"/>
          <w:color w:val="000000"/>
          <w:sz w:val="20"/>
          <w:szCs w:val="20"/>
        </w:rPr>
        <w:t>Freeport Doctrine</w:t>
      </w: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color w:val="000000"/>
          <w:sz w:val="20"/>
          <w:szCs w:val="20"/>
        </w:rPr>
      </w:pPr>
      <w:r w:rsidRPr="009D0F60">
        <w:rPr>
          <w:rFonts w:ascii="BookAntiqua" w:hAnsi="BookAntiqua" w:cs="BookAntiqua"/>
          <w:color w:val="000000"/>
          <w:sz w:val="20"/>
          <w:szCs w:val="20"/>
        </w:rPr>
        <w:t>John Brown and Harpers Ferry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sz w:val="20"/>
          <w:szCs w:val="20"/>
        </w:rPr>
      </w:pP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sz w:val="20"/>
          <w:szCs w:val="20"/>
        </w:rPr>
      </w:pPr>
      <w:r w:rsidRPr="009D0F60">
        <w:rPr>
          <w:rFonts w:ascii="BookAntiqua" w:hAnsi="BookAntiqua" w:cs="BookAntiqua"/>
          <w:sz w:val="20"/>
          <w:szCs w:val="20"/>
        </w:rPr>
        <w:t>Election of 1860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sz w:val="20"/>
          <w:szCs w:val="20"/>
        </w:rPr>
      </w:pP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sz w:val="20"/>
          <w:szCs w:val="20"/>
        </w:rPr>
      </w:pPr>
      <w:r w:rsidRPr="009D0F60">
        <w:rPr>
          <w:rFonts w:ascii="BookAntiqua" w:hAnsi="BookAntiqua" w:cs="BookAntiqua"/>
          <w:sz w:val="20"/>
          <w:szCs w:val="20"/>
        </w:rPr>
        <w:t>Fort Sumter, S.C.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sz w:val="20"/>
          <w:szCs w:val="20"/>
        </w:rPr>
      </w:pPr>
    </w:p>
    <w:p w:rsidR="0036725E" w:rsidRPr="009D0F60" w:rsidRDefault="0036725E" w:rsidP="00367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sz w:val="20"/>
          <w:szCs w:val="20"/>
        </w:rPr>
      </w:pPr>
      <w:r w:rsidRPr="009D0F60">
        <w:rPr>
          <w:rFonts w:ascii="BookAntiqua" w:hAnsi="BookAntiqua" w:cs="BookAntiqua"/>
          <w:sz w:val="20"/>
          <w:szCs w:val="20"/>
        </w:rPr>
        <w:t>Abraham Lincoln</w:t>
      </w:r>
    </w:p>
    <w:p w:rsidR="0036725E" w:rsidRDefault="0036725E" w:rsidP="0036725E">
      <w:pPr>
        <w:autoSpaceDE w:val="0"/>
        <w:autoSpaceDN w:val="0"/>
        <w:adjustRightInd w:val="0"/>
        <w:spacing w:before="120" w:after="120" w:line="480" w:lineRule="auto"/>
        <w:rPr>
          <w:rFonts w:ascii="BookAntiqua" w:hAnsi="BookAntiqua" w:cs="BookAntiqua"/>
          <w:sz w:val="20"/>
          <w:szCs w:val="20"/>
        </w:rPr>
      </w:pPr>
    </w:p>
    <w:p w:rsidR="0036725E" w:rsidRDefault="0036725E"/>
    <w:sectPr w:rsidR="00367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06D5C"/>
    <w:multiLevelType w:val="hybridMultilevel"/>
    <w:tmpl w:val="3D72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5E"/>
    <w:rsid w:val="000207CE"/>
    <w:rsid w:val="000333BE"/>
    <w:rsid w:val="000C4B4A"/>
    <w:rsid w:val="001063D7"/>
    <w:rsid w:val="00127E65"/>
    <w:rsid w:val="00146ED3"/>
    <w:rsid w:val="0017389A"/>
    <w:rsid w:val="00182ABA"/>
    <w:rsid w:val="001A27AE"/>
    <w:rsid w:val="001A4708"/>
    <w:rsid w:val="001A7CE3"/>
    <w:rsid w:val="00242F7F"/>
    <w:rsid w:val="00253998"/>
    <w:rsid w:val="002714F2"/>
    <w:rsid w:val="002846B1"/>
    <w:rsid w:val="0030450E"/>
    <w:rsid w:val="00324C46"/>
    <w:rsid w:val="0033299B"/>
    <w:rsid w:val="0036725E"/>
    <w:rsid w:val="00380206"/>
    <w:rsid w:val="003C1C1C"/>
    <w:rsid w:val="003C68A4"/>
    <w:rsid w:val="00427682"/>
    <w:rsid w:val="004775DB"/>
    <w:rsid w:val="004B2CBC"/>
    <w:rsid w:val="00566B6E"/>
    <w:rsid w:val="00597887"/>
    <w:rsid w:val="006A63FC"/>
    <w:rsid w:val="006B59A6"/>
    <w:rsid w:val="007C6236"/>
    <w:rsid w:val="00800F76"/>
    <w:rsid w:val="00855303"/>
    <w:rsid w:val="008E2C4A"/>
    <w:rsid w:val="00923AE0"/>
    <w:rsid w:val="009402E4"/>
    <w:rsid w:val="009411D1"/>
    <w:rsid w:val="00977280"/>
    <w:rsid w:val="009B1FAC"/>
    <w:rsid w:val="00BB230B"/>
    <w:rsid w:val="00BE1A31"/>
    <w:rsid w:val="00C0398A"/>
    <w:rsid w:val="00C179A1"/>
    <w:rsid w:val="00C449BB"/>
    <w:rsid w:val="00C52293"/>
    <w:rsid w:val="00DB0561"/>
    <w:rsid w:val="00DC20B3"/>
    <w:rsid w:val="00E43948"/>
    <w:rsid w:val="00E73F66"/>
    <w:rsid w:val="00EA0F29"/>
    <w:rsid w:val="00EC0642"/>
    <w:rsid w:val="00F839D3"/>
    <w:rsid w:val="00FD5C78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C203A-A383-45A0-9390-F83721A6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Handley</dc:creator>
  <cp:keywords/>
  <dc:description/>
  <cp:lastModifiedBy>Handley</cp:lastModifiedBy>
  <cp:revision>1</cp:revision>
  <dcterms:created xsi:type="dcterms:W3CDTF">2015-10-26T12:01:00Z</dcterms:created>
  <dcterms:modified xsi:type="dcterms:W3CDTF">2015-10-26T14:35:00Z</dcterms:modified>
</cp:coreProperties>
</file>