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A9" w:rsidRDefault="006607A4">
      <w:pPr>
        <w:rPr>
          <w:b/>
          <w:u w:val="single"/>
        </w:rPr>
      </w:pPr>
      <w:r w:rsidRPr="006607A4">
        <w:rPr>
          <w:b/>
          <w:u w:val="single"/>
        </w:rPr>
        <w:t>UNIT 2 NOTES- Expansion and Reform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Lewis and Clark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Missouri Compromise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 xml:space="preserve">The Indian Removal Act </w:t>
      </w:r>
      <w:r w:rsidRPr="006607A4">
        <w:rPr>
          <w:b/>
        </w:rPr>
        <w:t>(1830)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Sequoyah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 xml:space="preserve">Worcester v. Georgia </w:t>
      </w:r>
      <w:r w:rsidRPr="006607A4">
        <w:rPr>
          <w:b/>
        </w:rPr>
        <w:t>(1832)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Trail of Tears</w:t>
      </w:r>
      <w:bookmarkStart w:id="0" w:name="_GoBack"/>
      <w:bookmarkEnd w:id="0"/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Stephen Austin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The Alamo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Webster-</w:t>
      </w:r>
      <w:proofErr w:type="spellStart"/>
      <w:r w:rsidRPr="006607A4">
        <w:rPr>
          <w:b/>
        </w:rPr>
        <w:t>Ashburton</w:t>
      </w:r>
      <w:proofErr w:type="spellEnd"/>
      <w:r w:rsidRPr="006607A4">
        <w:rPr>
          <w:b/>
        </w:rPr>
        <w:t xml:space="preserve"> </w:t>
      </w:r>
      <w:r w:rsidRPr="006607A4">
        <w:rPr>
          <w:b/>
        </w:rPr>
        <w:t>Treaty (1842)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Oregon Trail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“54º40’ or Fight!”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Election of 1844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Texas Annexation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Wilmot Proviso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Mexican War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Treaty of Guadalupe</w:t>
      </w:r>
      <w:r w:rsidRPr="006607A4">
        <w:rPr>
          <w:b/>
        </w:rPr>
        <w:t>-</w:t>
      </w:r>
      <w:r w:rsidRPr="006607A4">
        <w:rPr>
          <w:b/>
        </w:rPr>
        <w:t>Hidalgo</w:t>
      </w:r>
    </w:p>
    <w:p w:rsidR="006607A4" w:rsidRPr="006607A4" w:rsidRDefault="006607A4" w:rsidP="006607A4">
      <w:pPr>
        <w:spacing w:before="240" w:after="240" w:line="480" w:lineRule="auto"/>
        <w:rPr>
          <w:b/>
        </w:rPr>
      </w:pP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Mexican Cession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49ers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Gadsden Purchase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Noah Webster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Neoclassical</w:t>
      </w:r>
      <w:r w:rsidRPr="006607A4">
        <w:rPr>
          <w:b/>
        </w:rPr>
        <w:t xml:space="preserve"> Architecture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New Nationalists/</w:t>
      </w:r>
      <w:r w:rsidRPr="006607A4">
        <w:rPr>
          <w:b/>
        </w:rPr>
        <w:t xml:space="preserve"> Knickerbocker School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Washington Irving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Nathaniel Hawthorne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 xml:space="preserve">James </w:t>
      </w:r>
      <w:proofErr w:type="spellStart"/>
      <w:r w:rsidRPr="006607A4">
        <w:rPr>
          <w:b/>
        </w:rPr>
        <w:t>Fenimore</w:t>
      </w:r>
      <w:proofErr w:type="spellEnd"/>
      <w:r w:rsidRPr="006607A4">
        <w:rPr>
          <w:b/>
        </w:rPr>
        <w:t xml:space="preserve"> Cooper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Ralph Waldo Emerson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Henry David Thoreau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Edgar Allan Poe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Alexis de Tocqueville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Hudson River School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 xml:space="preserve">Industrial </w:t>
      </w:r>
      <w:r w:rsidRPr="006607A4">
        <w:rPr>
          <w:b/>
        </w:rPr>
        <w:t>Revolution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Eli Whitney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lastRenderedPageBreak/>
        <w:t>Cotton gin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John Deere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Steel plow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Cyrus McCormick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Samuel Morse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Robert Fulton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Erie Canal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Cotton Kingdom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Sewing machine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Era of Good Feelings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Panic of 1819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 xml:space="preserve">McCulloch v. Maryland </w:t>
      </w:r>
      <w:r w:rsidRPr="006607A4">
        <w:rPr>
          <w:b/>
        </w:rPr>
        <w:t>(1819)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Monroe Doctrine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Gibbons v. Ogden (1824)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Election of 1824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“corrupt bargain”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Henry Clay’s</w:t>
      </w:r>
      <w:r w:rsidRPr="006607A4">
        <w:rPr>
          <w:b/>
        </w:rPr>
        <w:t xml:space="preserve"> American System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lastRenderedPageBreak/>
        <w:t>White manhood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suffrage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Tariff of Abominations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John C. Calhoun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 xml:space="preserve">South Carolina Exposition </w:t>
      </w:r>
      <w:r w:rsidRPr="006607A4">
        <w:rPr>
          <w:b/>
        </w:rPr>
        <w:t>and Protest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Nullification Crisis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Nat Turner’s Rebellion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Election of 1832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Pet Banks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Whig Party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Election of 1840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Dorothea Dix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Rehabilitation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Prison Reform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Horace Mann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Temperance Movement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Women’s Rights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lastRenderedPageBreak/>
        <w:t>Elizabeth Cady Stanton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proofErr w:type="spellStart"/>
      <w:r w:rsidRPr="006607A4">
        <w:rPr>
          <w:b/>
        </w:rPr>
        <w:t>Lucretia</w:t>
      </w:r>
      <w:proofErr w:type="spellEnd"/>
      <w:r w:rsidRPr="006607A4">
        <w:rPr>
          <w:b/>
        </w:rPr>
        <w:t xml:space="preserve"> Mott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Seneca Falls Convention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Sojourner Truth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Susan B. Anthony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Utopian Communities (</w:t>
      </w:r>
      <w:r w:rsidRPr="006607A4">
        <w:rPr>
          <w:b/>
        </w:rPr>
        <w:t>Brook Farm</w:t>
      </w:r>
      <w:r w:rsidRPr="006607A4">
        <w:rPr>
          <w:b/>
        </w:rPr>
        <w:t>, Oneida, New Harmony)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Mormons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Joseph Smith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Brigham Young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“Necessary evil”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William Lloyd Garrison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proofErr w:type="spellStart"/>
      <w:r w:rsidRPr="006607A4">
        <w:rPr>
          <w:b/>
        </w:rPr>
        <w:t>Grimké</w:t>
      </w:r>
      <w:proofErr w:type="spellEnd"/>
      <w:r w:rsidRPr="006607A4">
        <w:rPr>
          <w:b/>
        </w:rPr>
        <w:t xml:space="preserve"> Sisters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David Walker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Frederick Douglass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>Charles G. Finney</w:t>
      </w:r>
    </w:p>
    <w:p w:rsidR="006607A4" w:rsidRPr="006607A4" w:rsidRDefault="006607A4" w:rsidP="006607A4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rPr>
          <w:b/>
        </w:rPr>
      </w:pPr>
      <w:r w:rsidRPr="006607A4">
        <w:rPr>
          <w:b/>
        </w:rPr>
        <w:t xml:space="preserve">Second Great </w:t>
      </w:r>
      <w:r w:rsidRPr="006607A4">
        <w:rPr>
          <w:b/>
        </w:rPr>
        <w:t>Awakening</w:t>
      </w:r>
    </w:p>
    <w:sectPr w:rsidR="006607A4" w:rsidRPr="0066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30C"/>
    <w:multiLevelType w:val="hybridMultilevel"/>
    <w:tmpl w:val="04D48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A4"/>
    <w:rsid w:val="006607A4"/>
    <w:rsid w:val="00C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2015-01-20T19:56:00Z</dcterms:created>
  <dcterms:modified xsi:type="dcterms:W3CDTF">2015-01-20T20:06:00Z</dcterms:modified>
</cp:coreProperties>
</file>